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7B55" w14:textId="755B4327" w:rsidR="0044168A" w:rsidRDefault="338DB79F" w:rsidP="04B43EA8">
      <w:pPr>
        <w:spacing w:line="276" w:lineRule="auto"/>
        <w:jc w:val="center"/>
      </w:pPr>
      <w:r>
        <w:rPr>
          <w:noProof/>
        </w:rPr>
        <w:drawing>
          <wp:inline distT="0" distB="0" distL="0" distR="0" wp14:anchorId="57634E1F" wp14:editId="56C6EBEF">
            <wp:extent cx="2305065" cy="656018"/>
            <wp:effectExtent l="0" t="0" r="0" b="0"/>
            <wp:docPr id="681254400" name="Picture 681254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8" t="32187" r="10000" b="33750"/>
                    <a:stretch>
                      <a:fillRect/>
                    </a:stretch>
                  </pic:blipFill>
                  <pic:spPr>
                    <a:xfrm>
                      <a:off x="0" y="0"/>
                      <a:ext cx="2305065" cy="65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5F4DB" w14:textId="21752533" w:rsidR="04B43EA8" w:rsidRDefault="04B43EA8" w:rsidP="04B43EA8">
      <w:pPr>
        <w:jc w:val="center"/>
      </w:pPr>
    </w:p>
    <w:p w14:paraId="3BDEB49F" w14:textId="05F30495" w:rsidR="003A7CE4" w:rsidRDefault="0044168A" w:rsidP="0044168A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  <w:lang w:val="mi-NZ"/>
        </w:rPr>
      </w:pPr>
      <w:r w:rsidRPr="0044168A">
        <w:rPr>
          <w:rFonts w:asciiTheme="majorHAnsi" w:hAnsiTheme="majorHAnsi" w:cstheme="majorHAnsi"/>
          <w:b/>
          <w:bCs/>
          <w:sz w:val="22"/>
          <w:szCs w:val="22"/>
          <w:lang w:val="mi-NZ"/>
        </w:rPr>
        <w:t>Measuring Wellbeing in Tourism-Dependent Communities in Pacific Islands during COVID-19</w:t>
      </w:r>
    </w:p>
    <w:p w14:paraId="7F002919" w14:textId="63D0C8BC" w:rsidR="0044168A" w:rsidRPr="0044168A" w:rsidRDefault="0044168A" w:rsidP="0044168A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  <w:lang w:val="mi-NZ"/>
        </w:rPr>
      </w:pPr>
      <w:r w:rsidRPr="0044168A">
        <w:rPr>
          <w:rFonts w:asciiTheme="majorHAnsi" w:hAnsiTheme="majorHAnsi" w:cstheme="majorHAnsi"/>
          <w:b/>
          <w:bCs/>
          <w:sz w:val="22"/>
          <w:szCs w:val="22"/>
          <w:lang w:val="mi-NZ"/>
        </w:rPr>
        <w:t xml:space="preserve">Before and After </w:t>
      </w:r>
      <w:r w:rsidR="006E0440">
        <w:rPr>
          <w:rFonts w:asciiTheme="majorHAnsi" w:hAnsiTheme="majorHAnsi" w:cstheme="majorHAnsi"/>
          <w:b/>
          <w:bCs/>
          <w:sz w:val="22"/>
          <w:szCs w:val="22"/>
          <w:lang w:val="mi-NZ"/>
        </w:rPr>
        <w:t>Borders Re-Opened</w:t>
      </w:r>
    </w:p>
    <w:p w14:paraId="0A44CBA8" w14:textId="77777777" w:rsidR="0003176D" w:rsidRPr="00B471DA" w:rsidRDefault="0003176D" w:rsidP="00273D7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mi-NZ"/>
        </w:rPr>
      </w:pPr>
    </w:p>
    <w:p w14:paraId="764A45D9" w14:textId="0C45A953" w:rsidR="00947561" w:rsidRDefault="00947561" w:rsidP="00273D7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mi-NZ"/>
        </w:rPr>
      </w:pPr>
      <w:r>
        <w:rPr>
          <w:rFonts w:asciiTheme="majorHAnsi" w:hAnsiTheme="majorHAnsi" w:cstheme="majorHAnsi"/>
          <w:sz w:val="22"/>
          <w:szCs w:val="22"/>
          <w:lang w:val="mi-NZ"/>
        </w:rPr>
        <w:t>Led by Dr. Api Movono and Prof. Regina Scheyvens</w:t>
      </w:r>
    </w:p>
    <w:p w14:paraId="677D9EF4" w14:textId="3564F08E" w:rsidR="0003176D" w:rsidRPr="00947561" w:rsidRDefault="0003176D" w:rsidP="00273D7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mi-NZ"/>
        </w:rPr>
      </w:pPr>
      <w:r>
        <w:rPr>
          <w:rFonts w:asciiTheme="majorHAnsi" w:hAnsiTheme="majorHAnsi" w:cstheme="majorHAnsi"/>
          <w:sz w:val="22"/>
          <w:szCs w:val="22"/>
          <w:lang w:val="mi-NZ"/>
        </w:rPr>
        <w:t>Contact: r.a.scheyvens@massey.ac.nz</w:t>
      </w:r>
    </w:p>
    <w:p w14:paraId="45FADC0E" w14:textId="26A7365B" w:rsidR="001E7FA8" w:rsidRPr="00B95F7D" w:rsidRDefault="001E7FA8">
      <w:pPr>
        <w:rPr>
          <w:rFonts w:asciiTheme="majorHAnsi" w:hAnsiTheme="majorHAnsi" w:cstheme="majorHAnsi"/>
          <w:sz w:val="22"/>
          <w:szCs w:val="22"/>
          <w:lang w:val="mi-NZ"/>
        </w:rPr>
      </w:pPr>
    </w:p>
    <w:p w14:paraId="77DD15A6" w14:textId="2CA86B28" w:rsidR="00AE6F85" w:rsidRPr="00B95F7D" w:rsidRDefault="00AE6F85" w:rsidP="00B95F7D">
      <w:pPr>
        <w:rPr>
          <w:rFonts w:asciiTheme="majorHAnsi" w:hAnsiTheme="majorHAnsi" w:cstheme="majorHAnsi"/>
          <w:b/>
          <w:bCs/>
          <w:sz w:val="22"/>
          <w:szCs w:val="22"/>
          <w:lang w:val="mi-NZ"/>
        </w:rPr>
      </w:pPr>
      <w:r w:rsidRPr="00B95F7D">
        <w:rPr>
          <w:rFonts w:asciiTheme="majorHAnsi" w:hAnsiTheme="majorHAnsi" w:cstheme="majorHAnsi"/>
          <w:b/>
          <w:bCs/>
          <w:sz w:val="22"/>
          <w:szCs w:val="22"/>
          <w:lang w:val="mi-NZ"/>
        </w:rPr>
        <w:t>Background</w:t>
      </w:r>
    </w:p>
    <w:p w14:paraId="10EAA72A" w14:textId="1C633907" w:rsidR="00B95F7D" w:rsidRPr="00B95F7D" w:rsidRDefault="00001833" w:rsidP="00B95F7D">
      <w:pPr>
        <w:spacing w:line="276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mi-NZ"/>
        </w:rPr>
      </w:pPr>
      <w:r w:rsidRPr="00B95F7D">
        <w:rPr>
          <w:rFonts w:asciiTheme="majorHAnsi" w:hAnsiTheme="majorHAnsi" w:cstheme="majorHAnsi"/>
          <w:sz w:val="22"/>
          <w:szCs w:val="22"/>
          <w:lang w:val="mi-NZ"/>
        </w:rPr>
        <w:t xml:space="preserve">In </w:t>
      </w:r>
      <w:r w:rsidR="00033900" w:rsidRPr="00B95F7D">
        <w:rPr>
          <w:rFonts w:asciiTheme="majorHAnsi" w:hAnsiTheme="majorHAnsi" w:cstheme="majorHAnsi"/>
          <w:sz w:val="22"/>
          <w:szCs w:val="22"/>
          <w:lang w:val="mi-NZ"/>
        </w:rPr>
        <w:t xml:space="preserve">the absence of tourists due to COVID-19, Pacific Island nations are </w:t>
      </w:r>
      <w:r w:rsidR="00A35B76" w:rsidRPr="00B95F7D">
        <w:rPr>
          <w:rFonts w:asciiTheme="majorHAnsi" w:hAnsiTheme="majorHAnsi" w:cstheme="majorHAnsi"/>
          <w:sz w:val="22"/>
          <w:szCs w:val="22"/>
          <w:lang w:val="mi-NZ"/>
        </w:rPr>
        <w:t>thought to have been dealt a “severe blow” that has undermined their wellbeing</w:t>
      </w:r>
      <w:r w:rsidR="001B6C5E">
        <w:rPr>
          <w:rFonts w:asciiTheme="majorHAnsi" w:hAnsiTheme="majorHAnsi" w:cstheme="majorHAnsi"/>
          <w:sz w:val="22"/>
          <w:szCs w:val="22"/>
          <w:lang w:val="mi-NZ"/>
        </w:rPr>
        <w:t xml:space="preserve"> (UNCTAD, 2020)</w:t>
      </w:r>
      <w:r w:rsidR="00A35B76" w:rsidRPr="00B95F7D">
        <w:rPr>
          <w:rFonts w:asciiTheme="majorHAnsi" w:hAnsiTheme="majorHAnsi" w:cstheme="majorHAnsi"/>
          <w:sz w:val="22"/>
          <w:szCs w:val="22"/>
          <w:lang w:val="mi-NZ"/>
        </w:rPr>
        <w:t xml:space="preserve">. </w:t>
      </w:r>
      <w:r w:rsidR="00420E79" w:rsidRPr="00B95F7D">
        <w:rPr>
          <w:rFonts w:asciiTheme="majorHAnsi" w:hAnsiTheme="majorHAnsi" w:cstheme="majorHAnsi"/>
          <w:sz w:val="22"/>
          <w:szCs w:val="22"/>
          <w:lang w:val="mi-NZ"/>
        </w:rPr>
        <w:t>However, our research over the past three years has suggested that, despite the financial hardships, many Pacific peoples living in tourism-dependent communities have adapted to COVID-19 effectively and show</w:t>
      </w:r>
      <w:r w:rsidR="003D65F8">
        <w:rPr>
          <w:rFonts w:asciiTheme="majorHAnsi" w:hAnsiTheme="majorHAnsi" w:cstheme="majorHAnsi"/>
          <w:sz w:val="22"/>
          <w:szCs w:val="22"/>
          <w:lang w:val="mi-NZ"/>
        </w:rPr>
        <w:t>n</w:t>
      </w:r>
      <w:r w:rsidR="00420E79" w:rsidRPr="00B95F7D">
        <w:rPr>
          <w:rFonts w:asciiTheme="majorHAnsi" w:hAnsiTheme="majorHAnsi" w:cstheme="majorHAnsi"/>
          <w:sz w:val="22"/>
          <w:szCs w:val="22"/>
          <w:lang w:val="mi-NZ"/>
        </w:rPr>
        <w:t xml:space="preserve"> increased wellbeing </w:t>
      </w:r>
      <w:r w:rsidR="00022C04" w:rsidRPr="00B95F7D">
        <w:rPr>
          <w:rFonts w:asciiTheme="majorHAnsi" w:hAnsiTheme="majorHAnsi" w:cstheme="majorHAnsi"/>
          <w:sz w:val="22"/>
          <w:szCs w:val="22"/>
          <w:lang w:val="mi-NZ"/>
        </w:rPr>
        <w:t>across a number of dimensions</w:t>
      </w:r>
      <w:r w:rsidR="005C3AA1" w:rsidRPr="00B95F7D">
        <w:rPr>
          <w:rFonts w:asciiTheme="majorHAnsi" w:hAnsiTheme="majorHAnsi" w:cstheme="majorHAnsi"/>
          <w:sz w:val="22"/>
          <w:szCs w:val="22"/>
          <w:lang w:val="mi-NZ"/>
        </w:rPr>
        <w:t xml:space="preserve"> </w:t>
      </w:r>
      <w:r w:rsidR="005C3AA1" w:rsidRPr="00B95F7D">
        <w:rPr>
          <w:rFonts w:asciiTheme="majorHAnsi" w:hAnsiTheme="majorHAnsi" w:cstheme="majorHAnsi"/>
          <w:sz w:val="22"/>
          <w:szCs w:val="22"/>
          <w:lang w:val="mi-NZ"/>
        </w:rPr>
        <w:fldChar w:fldCharType="begin"/>
      </w:r>
      <w:r w:rsidR="005C3AA1" w:rsidRPr="00B95F7D">
        <w:rPr>
          <w:rFonts w:asciiTheme="majorHAnsi" w:hAnsiTheme="majorHAnsi" w:cstheme="majorHAnsi"/>
          <w:sz w:val="22"/>
          <w:szCs w:val="22"/>
          <w:lang w:val="mi-NZ"/>
        </w:rPr>
        <w:instrText xml:space="preserve"> ADDIN ZOTERO_ITEM CSL_CITATION {"citationID":"zvfAMJ16","properties":{"formattedCitation":"(Scheyvens et al., 2020, 2022)","plainCitation":"(Scheyvens et al., 2020, 2022)","noteIndex":0},"citationItems":[{"id":1506,"uris":["http://zotero.org/groups/4426039/items/3ECNGMK6"],"itemData":{"id":1506,"type":"report","collection-title":"Institute of Development Studies Working Paper Series","event-place":"Palmerston North","publisher":"Massey University","publisher-place":"Palmerston North","title":"Development in a world of disorder : tourism, COVID-19 and the adaptivity of South Pacific people","URL":"http://hdl.handle.net/10179/15742","author":[{"family":"Scheyvens","given":"Regina"},{"family":"Movono","given":"A"},{"family":"Strickland","given":"Danita"},{"family":"Bibi","given":"Patricia"},{"family":"Tasere","given":"Apakuki"},{"family":"Hills","given":"Georgie"},{"family":"Rihai","given":"Norah"},{"family":"Teama","given":"Fiona"}],"issued":{"date-parts":[["2020"]]}}},{"id":1557,"uris":["http://zotero.org/groups/4426039/items/WDXRP7I7"],"itemData":{"id":1557,"type":"article-journal","language":"en","page":"46","source":"Zotero","title":"Measuring the Wellbeing of Tourism- Reliant Communities in the South Pacific During the COVID-19 Pandemic","author":[{"family":"Scheyvens","given":"Regina"},{"family":"Movono","given":"Apisalome"},{"family":"Tasere","given":"Apakuki"},{"family":"Neihapi","given":"Pita"},{"family":"Taua’i","given":"Lagi"},{"family":"Turner","given":"Lauren"},{"family":"Uri-Puati","given":"James"},{"family":"Auckram","given":"Jessie"}],"issued":{"date-parts":[["2022"]]}}}],"schema":"https://github.com/citation-style-language/schema/raw/master/csl-citation.json"} </w:instrText>
      </w:r>
      <w:r w:rsidR="005C3AA1" w:rsidRPr="00B95F7D">
        <w:rPr>
          <w:rFonts w:asciiTheme="majorHAnsi" w:hAnsiTheme="majorHAnsi" w:cstheme="majorHAnsi"/>
          <w:sz w:val="22"/>
          <w:szCs w:val="22"/>
          <w:lang w:val="mi-NZ"/>
        </w:rPr>
        <w:fldChar w:fldCharType="separate"/>
      </w:r>
      <w:r w:rsidR="005C3AA1" w:rsidRPr="00B95F7D">
        <w:rPr>
          <w:rFonts w:asciiTheme="majorHAnsi" w:hAnsiTheme="majorHAnsi" w:cstheme="majorHAnsi"/>
          <w:noProof/>
          <w:sz w:val="22"/>
          <w:szCs w:val="22"/>
          <w:lang w:val="mi-NZ"/>
        </w:rPr>
        <w:t>(Scheyvens et al., 2020, 2022)</w:t>
      </w:r>
      <w:r w:rsidR="005C3AA1" w:rsidRPr="00B95F7D">
        <w:rPr>
          <w:rFonts w:asciiTheme="majorHAnsi" w:hAnsiTheme="majorHAnsi" w:cstheme="majorHAnsi"/>
          <w:sz w:val="22"/>
          <w:szCs w:val="22"/>
          <w:lang w:val="mi-NZ"/>
        </w:rPr>
        <w:fldChar w:fldCharType="end"/>
      </w:r>
      <w:r w:rsidR="00503B54" w:rsidRPr="00B95F7D">
        <w:rPr>
          <w:rFonts w:asciiTheme="majorHAnsi" w:hAnsiTheme="majorHAnsi" w:cstheme="majorHAnsi"/>
          <w:sz w:val="22"/>
          <w:szCs w:val="22"/>
          <w:lang w:val="mi-NZ"/>
        </w:rPr>
        <w:t>.</w:t>
      </w:r>
    </w:p>
    <w:p w14:paraId="689F107B" w14:textId="2B129749" w:rsidR="0070143F" w:rsidRDefault="001E7FA8" w:rsidP="04B43EA8">
      <w:pPr>
        <w:spacing w:line="276" w:lineRule="auto"/>
        <w:ind w:firstLine="720"/>
        <w:jc w:val="both"/>
        <w:rPr>
          <w:rFonts w:asciiTheme="majorHAnsi" w:hAnsiTheme="majorHAnsi" w:cstheme="majorBidi"/>
          <w:sz w:val="22"/>
          <w:szCs w:val="22"/>
          <w:lang w:val="mi-NZ"/>
        </w:rPr>
      </w:pPr>
      <w:r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The current study </w:t>
      </w:r>
      <w:r w:rsidR="00C44E8C" w:rsidRPr="04B43EA8">
        <w:rPr>
          <w:rFonts w:asciiTheme="majorHAnsi" w:hAnsiTheme="majorHAnsi" w:cstheme="majorBidi"/>
          <w:sz w:val="22"/>
          <w:szCs w:val="22"/>
          <w:lang w:val="mi-NZ"/>
        </w:rPr>
        <w:t>emerged</w:t>
      </w:r>
      <w:r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 from a broader research</w:t>
      </w:r>
      <w:r w:rsidR="009C182E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 </w:t>
      </w:r>
      <w:r w:rsidR="009418D8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project </w:t>
      </w:r>
      <w:r w:rsidR="00FA2A31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about the impacts of economic slowdown caused by COVID-19 on Pacific peoples. </w:t>
      </w:r>
      <w:r w:rsidR="0047676B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In Phase 1 of this study </w:t>
      </w:r>
      <w:r w:rsidR="008F3E96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(late 2021-early 2022) </w:t>
      </w:r>
      <w:r w:rsidR="0047676B" w:rsidRPr="04B43EA8">
        <w:rPr>
          <w:rFonts w:asciiTheme="majorHAnsi" w:hAnsiTheme="majorHAnsi" w:cstheme="majorBidi"/>
          <w:sz w:val="22"/>
          <w:szCs w:val="22"/>
          <w:lang w:val="mi-NZ"/>
        </w:rPr>
        <w:t>we assessed wellbeing prior to the return of tourists in Fiji, Samoa, Vanuatu and Cook Islands. We are currently undertaking Phase 2 of this study, wherein we return to the same tourism-dependent communities in each of these countries to assess wellbeing 6 months after tourists have returned.</w:t>
      </w:r>
    </w:p>
    <w:p w14:paraId="5D5AEBFA" w14:textId="77777777" w:rsidR="004F7651" w:rsidRDefault="004F7651" w:rsidP="00B95F7D">
      <w:pPr>
        <w:spacing w:line="276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mi-NZ"/>
        </w:rPr>
      </w:pPr>
    </w:p>
    <w:p w14:paraId="386D72B1" w14:textId="19B5E1F7" w:rsidR="004F7651" w:rsidRPr="004F7651" w:rsidRDefault="004F7651" w:rsidP="004F7651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mi-N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mi-NZ"/>
        </w:rPr>
        <w:t>Wellbeing framework</w:t>
      </w:r>
    </w:p>
    <w:p w14:paraId="77906926" w14:textId="32FF598C" w:rsidR="00E25499" w:rsidRDefault="0070143F" w:rsidP="00503B54">
      <w:pPr>
        <w:spacing w:line="276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mi-NZ"/>
        </w:rPr>
      </w:pPr>
      <w:r w:rsidRPr="00B95F7D">
        <w:rPr>
          <w:rFonts w:asciiTheme="majorHAnsi" w:hAnsiTheme="majorHAnsi" w:cstheme="majorHAnsi"/>
          <w:sz w:val="22"/>
          <w:szCs w:val="22"/>
          <w:lang w:val="mi-NZ"/>
        </w:rPr>
        <w:t xml:space="preserve">In creating our wellbeing survey, we </w:t>
      </w:r>
      <w:r w:rsidR="00643FAB">
        <w:rPr>
          <w:rFonts w:asciiTheme="majorHAnsi" w:hAnsiTheme="majorHAnsi" w:cstheme="majorHAnsi"/>
          <w:sz w:val="22"/>
          <w:szCs w:val="22"/>
          <w:lang w:val="mi-NZ"/>
        </w:rPr>
        <w:t xml:space="preserve">originally </w:t>
      </w:r>
      <w:r w:rsidRPr="00B95F7D">
        <w:rPr>
          <w:rFonts w:asciiTheme="majorHAnsi" w:hAnsiTheme="majorHAnsi" w:cstheme="majorHAnsi"/>
          <w:sz w:val="22"/>
          <w:szCs w:val="22"/>
          <w:lang w:val="mi-NZ"/>
        </w:rPr>
        <w:t xml:space="preserve">drew from models of wellbeing which highlight four key dimensions of wellbeing; physical, mental, social, financial. </w:t>
      </w:r>
      <w:r w:rsidR="00AA4019" w:rsidRPr="00B95F7D">
        <w:rPr>
          <w:rFonts w:asciiTheme="majorHAnsi" w:hAnsiTheme="majorHAnsi" w:cstheme="majorHAnsi"/>
          <w:sz w:val="22"/>
          <w:szCs w:val="22"/>
          <w:lang w:val="mi-NZ"/>
        </w:rPr>
        <w:t>O</w:t>
      </w:r>
      <w:r w:rsidR="007E214C" w:rsidRPr="00B95F7D">
        <w:rPr>
          <w:rFonts w:asciiTheme="majorHAnsi" w:hAnsiTheme="majorHAnsi" w:cstheme="majorHAnsi"/>
          <w:sz w:val="22"/>
          <w:szCs w:val="22"/>
          <w:lang w:val="mi-NZ"/>
        </w:rPr>
        <w:t>ur research in 2020 indicated that there is more to wellbeing for Pacific peoples</w:t>
      </w:r>
      <w:r w:rsidR="00EC1AFB" w:rsidRPr="00B95F7D">
        <w:rPr>
          <w:rFonts w:asciiTheme="majorHAnsi" w:hAnsiTheme="majorHAnsi" w:cstheme="majorHAnsi"/>
          <w:sz w:val="22"/>
          <w:szCs w:val="22"/>
          <w:lang w:val="mi-NZ"/>
        </w:rPr>
        <w:t xml:space="preserve"> - the</w:t>
      </w:r>
      <w:r w:rsidR="007E214C" w:rsidRPr="00B95F7D">
        <w:rPr>
          <w:rFonts w:asciiTheme="majorHAnsi" w:hAnsiTheme="majorHAnsi" w:cstheme="majorHAnsi"/>
          <w:sz w:val="22"/>
          <w:szCs w:val="22"/>
          <w:lang w:val="mi-NZ"/>
        </w:rPr>
        <w:t xml:space="preserve"> spiritual and environmental </w:t>
      </w:r>
      <w:r w:rsidR="00EC1AFB" w:rsidRPr="00B95F7D">
        <w:rPr>
          <w:rFonts w:asciiTheme="majorHAnsi" w:hAnsiTheme="majorHAnsi" w:cstheme="majorHAnsi"/>
          <w:sz w:val="22"/>
          <w:szCs w:val="22"/>
          <w:lang w:val="mi-NZ"/>
        </w:rPr>
        <w:t xml:space="preserve">aspects of </w:t>
      </w:r>
      <w:r w:rsidR="007E214C" w:rsidRPr="00B95F7D">
        <w:rPr>
          <w:rFonts w:asciiTheme="majorHAnsi" w:hAnsiTheme="majorHAnsi" w:cstheme="majorHAnsi"/>
          <w:sz w:val="22"/>
          <w:szCs w:val="22"/>
          <w:lang w:val="mi-NZ"/>
        </w:rPr>
        <w:t xml:space="preserve">wellbeing cannot be overlooked. </w:t>
      </w:r>
      <w:r w:rsidR="00E25499" w:rsidRPr="00B95F7D">
        <w:rPr>
          <w:rFonts w:asciiTheme="majorHAnsi" w:hAnsiTheme="majorHAnsi" w:cstheme="majorHAnsi"/>
          <w:sz w:val="22"/>
          <w:szCs w:val="22"/>
          <w:lang w:val="mi-NZ"/>
        </w:rPr>
        <w:t xml:space="preserve">Thus, </w:t>
      </w:r>
      <w:r w:rsidR="00964109" w:rsidRPr="00B95F7D">
        <w:rPr>
          <w:rFonts w:asciiTheme="majorHAnsi" w:hAnsiTheme="majorHAnsi" w:cstheme="majorHAnsi"/>
          <w:sz w:val="22"/>
          <w:szCs w:val="22"/>
          <w:lang w:val="mi-NZ"/>
        </w:rPr>
        <w:t xml:space="preserve">we </w:t>
      </w:r>
      <w:r w:rsidR="00FB3C0D">
        <w:rPr>
          <w:rFonts w:asciiTheme="majorHAnsi" w:hAnsiTheme="majorHAnsi" w:cstheme="majorHAnsi"/>
          <w:sz w:val="22"/>
          <w:szCs w:val="22"/>
          <w:lang w:val="mi-NZ"/>
        </w:rPr>
        <w:t xml:space="preserve">developed </w:t>
      </w:r>
      <w:r w:rsidR="00964109" w:rsidRPr="00B95F7D">
        <w:rPr>
          <w:rFonts w:asciiTheme="majorHAnsi" w:hAnsiTheme="majorHAnsi" w:cstheme="majorHAnsi"/>
          <w:sz w:val="22"/>
          <w:szCs w:val="22"/>
          <w:lang w:val="mi-NZ"/>
        </w:rPr>
        <w:t>a 6-dimension</w:t>
      </w:r>
      <w:r w:rsidR="00FB3C0D">
        <w:rPr>
          <w:rFonts w:asciiTheme="majorHAnsi" w:hAnsiTheme="majorHAnsi" w:cstheme="majorHAnsi"/>
          <w:sz w:val="22"/>
          <w:szCs w:val="22"/>
          <w:lang w:val="mi-NZ"/>
        </w:rPr>
        <w:t>al</w:t>
      </w:r>
      <w:r w:rsidR="00964109" w:rsidRPr="00B95F7D">
        <w:rPr>
          <w:rFonts w:asciiTheme="majorHAnsi" w:hAnsiTheme="majorHAnsi" w:cstheme="majorHAnsi"/>
          <w:sz w:val="22"/>
          <w:szCs w:val="22"/>
          <w:lang w:val="mi-NZ"/>
        </w:rPr>
        <w:t xml:space="preserve"> </w:t>
      </w:r>
      <w:r w:rsidR="00FB3C0D">
        <w:rPr>
          <w:rFonts w:asciiTheme="majorHAnsi" w:hAnsiTheme="majorHAnsi" w:cstheme="majorHAnsi"/>
          <w:sz w:val="22"/>
          <w:szCs w:val="22"/>
          <w:lang w:val="mi-NZ"/>
        </w:rPr>
        <w:t xml:space="preserve">wellbeing </w:t>
      </w:r>
      <w:r w:rsidR="00F02C3D">
        <w:rPr>
          <w:rFonts w:asciiTheme="majorHAnsi" w:hAnsiTheme="majorHAnsi" w:cstheme="majorHAnsi"/>
          <w:sz w:val="22"/>
          <w:szCs w:val="22"/>
          <w:lang w:val="mi-NZ"/>
        </w:rPr>
        <w:t>model</w:t>
      </w:r>
      <w:r w:rsidR="00964109" w:rsidRPr="00B95F7D">
        <w:rPr>
          <w:rFonts w:asciiTheme="majorHAnsi" w:hAnsiTheme="majorHAnsi" w:cstheme="majorHAnsi"/>
          <w:sz w:val="22"/>
          <w:szCs w:val="22"/>
          <w:lang w:val="mi-NZ"/>
        </w:rPr>
        <w:t xml:space="preserve">, which we have </w:t>
      </w:r>
      <w:r w:rsidR="00F02C3D">
        <w:rPr>
          <w:rFonts w:asciiTheme="majorHAnsi" w:hAnsiTheme="majorHAnsi" w:cstheme="majorHAnsi"/>
          <w:sz w:val="22"/>
          <w:szCs w:val="22"/>
          <w:lang w:val="mi-NZ"/>
        </w:rPr>
        <w:t xml:space="preserve">called </w:t>
      </w:r>
      <w:r w:rsidR="00964109" w:rsidRPr="00B95F7D">
        <w:rPr>
          <w:rFonts w:asciiTheme="majorHAnsi" w:hAnsiTheme="majorHAnsi" w:cstheme="majorHAnsi"/>
          <w:sz w:val="22"/>
          <w:szCs w:val="22"/>
          <w:lang w:val="mi-NZ"/>
        </w:rPr>
        <w:t xml:space="preserve">the Frangipani framework (see poster). </w:t>
      </w:r>
      <w:r w:rsidR="00503B54" w:rsidRPr="00B95F7D">
        <w:rPr>
          <w:rFonts w:asciiTheme="majorHAnsi" w:hAnsiTheme="majorHAnsi" w:cstheme="majorHAnsi"/>
          <w:sz w:val="22"/>
          <w:szCs w:val="22"/>
          <w:lang w:val="mi-NZ"/>
        </w:rPr>
        <w:t xml:space="preserve">This framework </w:t>
      </w:r>
      <w:r w:rsidR="00F02C3D">
        <w:rPr>
          <w:rFonts w:asciiTheme="majorHAnsi" w:hAnsiTheme="majorHAnsi" w:cstheme="majorHAnsi"/>
          <w:sz w:val="22"/>
          <w:szCs w:val="22"/>
          <w:lang w:val="mi-NZ"/>
        </w:rPr>
        <w:t xml:space="preserve">shows the </w:t>
      </w:r>
      <w:r w:rsidR="007B30CD">
        <w:rPr>
          <w:rFonts w:asciiTheme="majorHAnsi" w:hAnsiTheme="majorHAnsi" w:cstheme="majorHAnsi"/>
          <w:sz w:val="22"/>
          <w:szCs w:val="22"/>
          <w:lang w:val="mi-NZ"/>
        </w:rPr>
        <w:t>frangipani</w:t>
      </w:r>
      <w:r w:rsidR="009E0C14" w:rsidRPr="00B95F7D">
        <w:rPr>
          <w:rFonts w:asciiTheme="majorHAnsi" w:hAnsiTheme="majorHAnsi" w:cstheme="majorHAnsi"/>
          <w:sz w:val="22"/>
          <w:szCs w:val="22"/>
          <w:lang w:val="mi-NZ"/>
        </w:rPr>
        <w:t xml:space="preserve"> petals indicating 5 dimensions of wellbeing (mental, physical, social, spiritual, financial)</w:t>
      </w:r>
      <w:r w:rsidR="007B30CD">
        <w:rPr>
          <w:rFonts w:asciiTheme="majorHAnsi" w:hAnsiTheme="majorHAnsi" w:cstheme="majorHAnsi"/>
          <w:sz w:val="22"/>
          <w:szCs w:val="22"/>
          <w:lang w:val="mi-NZ"/>
        </w:rPr>
        <w:t xml:space="preserve">, while the trunk and roots of the </w:t>
      </w:r>
      <w:r w:rsidR="009E0C14" w:rsidRPr="00B95F7D">
        <w:rPr>
          <w:rFonts w:asciiTheme="majorHAnsi" w:hAnsiTheme="majorHAnsi" w:cstheme="majorHAnsi"/>
          <w:sz w:val="22"/>
          <w:szCs w:val="22"/>
          <w:lang w:val="mi-NZ"/>
        </w:rPr>
        <w:t>frangipani tree</w:t>
      </w:r>
      <w:r w:rsidR="007B30CD">
        <w:rPr>
          <w:rFonts w:asciiTheme="majorHAnsi" w:hAnsiTheme="majorHAnsi" w:cstheme="majorHAnsi"/>
          <w:sz w:val="22"/>
          <w:szCs w:val="22"/>
          <w:lang w:val="mi-NZ"/>
        </w:rPr>
        <w:t xml:space="preserve"> signifies environmental wellbeing </w:t>
      </w:r>
      <w:r w:rsidR="009A0179">
        <w:rPr>
          <w:rFonts w:asciiTheme="majorHAnsi" w:hAnsiTheme="majorHAnsi" w:cstheme="majorHAnsi"/>
          <w:sz w:val="22"/>
          <w:szCs w:val="22"/>
          <w:lang w:val="mi-NZ"/>
        </w:rPr>
        <w:t xml:space="preserve">(including context, time and place). </w:t>
      </w:r>
      <w:r w:rsidR="009E0C14" w:rsidRPr="00B95F7D">
        <w:rPr>
          <w:rFonts w:asciiTheme="majorHAnsi" w:hAnsiTheme="majorHAnsi" w:cstheme="majorHAnsi"/>
          <w:sz w:val="22"/>
          <w:szCs w:val="22"/>
          <w:lang w:val="mi-NZ"/>
        </w:rPr>
        <w:t xml:space="preserve"> </w:t>
      </w:r>
    </w:p>
    <w:p w14:paraId="3B504B08" w14:textId="77777777" w:rsidR="004F7651" w:rsidRDefault="004F7651" w:rsidP="004F7651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mi-NZ"/>
        </w:rPr>
      </w:pPr>
    </w:p>
    <w:p w14:paraId="7C9A3F5C" w14:textId="553768DC" w:rsidR="004F7651" w:rsidRPr="004F7651" w:rsidRDefault="004F7651" w:rsidP="004F7651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mi-N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mi-NZ"/>
        </w:rPr>
        <w:t>Research design</w:t>
      </w:r>
    </w:p>
    <w:p w14:paraId="62EF1016" w14:textId="51746059" w:rsidR="00B95F7D" w:rsidRDefault="00B5497C" w:rsidP="00BC78D5">
      <w:pPr>
        <w:spacing w:line="276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mi-NZ"/>
        </w:rPr>
      </w:pPr>
      <w:r>
        <w:rPr>
          <w:rFonts w:asciiTheme="majorHAnsi" w:hAnsiTheme="majorHAnsi" w:cstheme="majorHAnsi"/>
          <w:sz w:val="22"/>
          <w:szCs w:val="22"/>
          <w:lang w:val="mi-NZ"/>
        </w:rPr>
        <w:t>The Frangipani Framework was used to guide survey design for th</w:t>
      </w:r>
      <w:r w:rsidR="006234C7">
        <w:rPr>
          <w:rFonts w:asciiTheme="majorHAnsi" w:hAnsiTheme="majorHAnsi" w:cstheme="majorHAnsi"/>
          <w:sz w:val="22"/>
          <w:szCs w:val="22"/>
          <w:lang w:val="mi-NZ"/>
        </w:rPr>
        <w:t>e</w:t>
      </w:r>
      <w:r>
        <w:rPr>
          <w:rFonts w:asciiTheme="majorHAnsi" w:hAnsiTheme="majorHAnsi" w:cstheme="majorHAnsi"/>
          <w:sz w:val="22"/>
          <w:szCs w:val="22"/>
          <w:lang w:val="mi-NZ"/>
        </w:rPr>
        <w:t xml:space="preserve"> project. W</w:t>
      </w:r>
      <w:r w:rsidR="009D3368" w:rsidRPr="00B95F7D">
        <w:rPr>
          <w:rFonts w:asciiTheme="majorHAnsi" w:hAnsiTheme="majorHAnsi" w:cstheme="majorHAnsi"/>
          <w:sz w:val="22"/>
          <w:szCs w:val="22"/>
          <w:lang w:val="mi-NZ"/>
        </w:rPr>
        <w:t>e consulted a number of experts in Indigenous studies, wellbeing</w:t>
      </w:r>
      <w:r w:rsidR="00AA4019" w:rsidRPr="00B95F7D">
        <w:rPr>
          <w:rFonts w:asciiTheme="majorHAnsi" w:hAnsiTheme="majorHAnsi" w:cstheme="majorHAnsi"/>
          <w:sz w:val="22"/>
          <w:szCs w:val="22"/>
          <w:lang w:val="mi-NZ"/>
        </w:rPr>
        <w:t>, Pacific studies and psychology</w:t>
      </w:r>
      <w:r w:rsidR="00A16EFD" w:rsidRPr="00B95F7D">
        <w:rPr>
          <w:rFonts w:asciiTheme="majorHAnsi" w:hAnsiTheme="majorHAnsi" w:cstheme="majorHAnsi"/>
          <w:sz w:val="22"/>
          <w:szCs w:val="22"/>
          <w:lang w:val="mi-NZ"/>
        </w:rPr>
        <w:t xml:space="preserve"> during this process</w:t>
      </w:r>
      <w:r w:rsidR="00AA4019" w:rsidRPr="00B95F7D">
        <w:rPr>
          <w:rFonts w:asciiTheme="majorHAnsi" w:hAnsiTheme="majorHAnsi" w:cstheme="majorHAnsi"/>
          <w:sz w:val="22"/>
          <w:szCs w:val="22"/>
          <w:lang w:val="mi-NZ"/>
        </w:rPr>
        <w:t xml:space="preserve">. This resulted in our survey questions being largely sourced from the NZ Attitudes and Values Survey, and supplemented with questions specific to this </w:t>
      </w:r>
      <w:r w:rsidR="006234C7">
        <w:rPr>
          <w:rFonts w:asciiTheme="majorHAnsi" w:hAnsiTheme="majorHAnsi" w:cstheme="majorHAnsi"/>
          <w:sz w:val="22"/>
          <w:szCs w:val="22"/>
          <w:lang w:val="mi-NZ"/>
        </w:rPr>
        <w:t>project e.g.</w:t>
      </w:r>
      <w:r w:rsidR="00AA4019" w:rsidRPr="00B95F7D">
        <w:rPr>
          <w:rFonts w:asciiTheme="majorHAnsi" w:hAnsiTheme="majorHAnsi" w:cstheme="majorHAnsi"/>
          <w:sz w:val="22"/>
          <w:szCs w:val="22"/>
          <w:lang w:val="mi-NZ"/>
        </w:rPr>
        <w:t xml:space="preserve"> around environmental wellbeing.</w:t>
      </w:r>
      <w:r w:rsidR="00507444" w:rsidRPr="00B95F7D">
        <w:rPr>
          <w:rFonts w:asciiTheme="majorHAnsi" w:hAnsiTheme="majorHAnsi" w:cstheme="majorHAnsi"/>
          <w:sz w:val="22"/>
          <w:szCs w:val="22"/>
          <w:lang w:val="mi-NZ"/>
        </w:rPr>
        <w:t xml:space="preserve"> The survey contains both quantitative, Likert style questions, and qualitative, open-ended questions. The Likert style questions range from 1 (strongly disagree) to 5 (strongly agree).</w:t>
      </w:r>
      <w:r w:rsidR="003D24AB" w:rsidRPr="00B95F7D">
        <w:rPr>
          <w:rFonts w:asciiTheme="majorHAnsi" w:hAnsiTheme="majorHAnsi" w:cstheme="majorHAnsi"/>
          <w:sz w:val="22"/>
          <w:szCs w:val="22"/>
          <w:lang w:val="mi-NZ"/>
        </w:rPr>
        <w:t xml:space="preserve"> The quotes on the poster come from open-ended question responses to Phase 2 of the survey.</w:t>
      </w:r>
    </w:p>
    <w:p w14:paraId="613FD284" w14:textId="77777777" w:rsidR="00F45D0C" w:rsidRPr="00B95F7D" w:rsidRDefault="00F45D0C" w:rsidP="00BC78D5">
      <w:pPr>
        <w:spacing w:line="276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mi-NZ"/>
        </w:rPr>
      </w:pPr>
    </w:p>
    <w:p w14:paraId="7921CA79" w14:textId="1F8F59AB" w:rsidR="00AE6F85" w:rsidRPr="00B95F7D" w:rsidRDefault="00AE6F85" w:rsidP="00AE6F85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mi-NZ"/>
        </w:rPr>
      </w:pPr>
      <w:r w:rsidRPr="00B95F7D">
        <w:rPr>
          <w:rFonts w:asciiTheme="majorHAnsi" w:hAnsiTheme="majorHAnsi" w:cstheme="majorHAnsi"/>
          <w:b/>
          <w:bCs/>
          <w:sz w:val="22"/>
          <w:szCs w:val="22"/>
          <w:lang w:val="mi-NZ"/>
        </w:rPr>
        <w:t>Results</w:t>
      </w:r>
    </w:p>
    <w:p w14:paraId="596FB82E" w14:textId="7D34D3B2" w:rsidR="00AE6F85" w:rsidRPr="00B95F7D" w:rsidRDefault="002E2BA1" w:rsidP="00AE6F8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mi-NZ"/>
        </w:rPr>
      </w:pPr>
      <w:r w:rsidRPr="00B95F7D">
        <w:rPr>
          <w:rFonts w:asciiTheme="majorHAnsi" w:hAnsiTheme="majorHAnsi" w:cstheme="majorHAnsi"/>
          <w:sz w:val="22"/>
          <w:szCs w:val="22"/>
          <w:lang w:val="mi-NZ"/>
        </w:rPr>
        <w:tab/>
      </w:r>
      <w:r w:rsidR="005617C1" w:rsidRPr="00B95F7D">
        <w:rPr>
          <w:rFonts w:asciiTheme="majorHAnsi" w:hAnsiTheme="majorHAnsi" w:cstheme="majorHAnsi"/>
          <w:sz w:val="22"/>
          <w:szCs w:val="22"/>
          <w:lang w:val="mi-NZ"/>
        </w:rPr>
        <w:t>We are currently undertaking Phase 2 of this research and</w:t>
      </w:r>
      <w:r w:rsidRPr="00B95F7D">
        <w:rPr>
          <w:rFonts w:asciiTheme="majorHAnsi" w:hAnsiTheme="majorHAnsi" w:cstheme="majorHAnsi"/>
          <w:sz w:val="22"/>
          <w:szCs w:val="22"/>
          <w:lang w:val="mi-NZ"/>
        </w:rPr>
        <w:t xml:space="preserve"> have data from Fiji and Cook Islands. </w:t>
      </w:r>
      <w:r w:rsidR="0054476A" w:rsidRPr="00B95F7D">
        <w:rPr>
          <w:rFonts w:asciiTheme="majorHAnsi" w:hAnsiTheme="majorHAnsi" w:cstheme="majorHAnsi"/>
          <w:sz w:val="22"/>
          <w:szCs w:val="22"/>
          <w:lang w:val="mi-NZ"/>
        </w:rPr>
        <w:t xml:space="preserve">The results section of this </w:t>
      </w:r>
      <w:r w:rsidR="00507444" w:rsidRPr="00B95F7D">
        <w:rPr>
          <w:rFonts w:asciiTheme="majorHAnsi" w:hAnsiTheme="majorHAnsi" w:cstheme="majorHAnsi"/>
          <w:sz w:val="22"/>
          <w:szCs w:val="22"/>
          <w:lang w:val="mi-NZ"/>
        </w:rPr>
        <w:t xml:space="preserve">poster compares the </w:t>
      </w:r>
      <w:r w:rsidR="0054476A" w:rsidRPr="00B95F7D">
        <w:rPr>
          <w:rFonts w:asciiTheme="majorHAnsi" w:hAnsiTheme="majorHAnsi" w:cstheme="majorHAnsi"/>
          <w:sz w:val="22"/>
          <w:szCs w:val="22"/>
          <w:lang w:val="mi-NZ"/>
        </w:rPr>
        <w:t xml:space="preserve">collated data from Fiji and Cook Islands from Phase 1 </w:t>
      </w:r>
      <w:r w:rsidR="001D2BC2" w:rsidRPr="00B95F7D">
        <w:rPr>
          <w:rFonts w:asciiTheme="majorHAnsi" w:hAnsiTheme="majorHAnsi" w:cstheme="majorHAnsi"/>
          <w:sz w:val="22"/>
          <w:szCs w:val="22"/>
          <w:lang w:val="mi-NZ"/>
        </w:rPr>
        <w:t xml:space="preserve">(before tourists returned) </w:t>
      </w:r>
      <w:r w:rsidR="0054476A" w:rsidRPr="00B95F7D">
        <w:rPr>
          <w:rFonts w:asciiTheme="majorHAnsi" w:hAnsiTheme="majorHAnsi" w:cstheme="majorHAnsi"/>
          <w:sz w:val="22"/>
          <w:szCs w:val="22"/>
          <w:lang w:val="mi-NZ"/>
        </w:rPr>
        <w:t>and Phase 2</w:t>
      </w:r>
      <w:r w:rsidR="001D2BC2" w:rsidRPr="00B95F7D">
        <w:rPr>
          <w:rFonts w:asciiTheme="majorHAnsi" w:hAnsiTheme="majorHAnsi" w:cstheme="majorHAnsi"/>
          <w:sz w:val="22"/>
          <w:szCs w:val="22"/>
          <w:lang w:val="mi-NZ"/>
        </w:rPr>
        <w:t xml:space="preserve"> (6 months after tourists returned)</w:t>
      </w:r>
      <w:r w:rsidR="00903ADA" w:rsidRPr="00B95F7D">
        <w:rPr>
          <w:rFonts w:asciiTheme="majorHAnsi" w:hAnsiTheme="majorHAnsi" w:cstheme="majorHAnsi"/>
          <w:sz w:val="22"/>
          <w:szCs w:val="22"/>
          <w:lang w:val="mi-NZ"/>
        </w:rPr>
        <w:t xml:space="preserve">, based on </w:t>
      </w:r>
      <w:r w:rsidR="005A4747" w:rsidRPr="00B95F7D">
        <w:rPr>
          <w:rFonts w:asciiTheme="majorHAnsi" w:hAnsiTheme="majorHAnsi" w:cstheme="majorHAnsi"/>
          <w:sz w:val="22"/>
          <w:szCs w:val="22"/>
          <w:lang w:val="mi-NZ"/>
        </w:rPr>
        <w:t xml:space="preserve">the percentage of respondents who were “strongly agreeing” to questions about their wellbeing improving </w:t>
      </w:r>
      <w:r w:rsidR="00F45D0C">
        <w:rPr>
          <w:rFonts w:asciiTheme="majorHAnsi" w:hAnsiTheme="majorHAnsi" w:cstheme="majorHAnsi"/>
          <w:sz w:val="22"/>
          <w:szCs w:val="22"/>
          <w:lang w:val="mi-NZ"/>
        </w:rPr>
        <w:t>through to those who were</w:t>
      </w:r>
      <w:r w:rsidR="005A4747" w:rsidRPr="00B95F7D">
        <w:rPr>
          <w:rFonts w:asciiTheme="majorHAnsi" w:hAnsiTheme="majorHAnsi" w:cstheme="majorHAnsi"/>
          <w:sz w:val="22"/>
          <w:szCs w:val="22"/>
          <w:lang w:val="mi-NZ"/>
        </w:rPr>
        <w:t xml:space="preserve"> “strongly disagreeing”. </w:t>
      </w:r>
    </w:p>
    <w:p w14:paraId="0116556F" w14:textId="77777777" w:rsidR="006C1562" w:rsidRDefault="00597204" w:rsidP="04B43EA8">
      <w:pPr>
        <w:spacing w:line="276" w:lineRule="auto"/>
        <w:jc w:val="both"/>
        <w:rPr>
          <w:rFonts w:asciiTheme="majorHAnsi" w:hAnsiTheme="majorHAnsi" w:cstheme="majorBidi"/>
          <w:sz w:val="22"/>
          <w:szCs w:val="22"/>
          <w:lang w:val="mi-NZ"/>
        </w:rPr>
      </w:pPr>
      <w:r w:rsidRPr="00B95F7D">
        <w:rPr>
          <w:rFonts w:asciiTheme="majorHAnsi" w:hAnsiTheme="majorHAnsi" w:cstheme="majorHAnsi"/>
          <w:sz w:val="22"/>
          <w:szCs w:val="22"/>
          <w:lang w:val="mi-NZ"/>
        </w:rPr>
        <w:lastRenderedPageBreak/>
        <w:tab/>
      </w:r>
      <w:r w:rsidR="007E0E8D" w:rsidRPr="04B43EA8">
        <w:rPr>
          <w:rFonts w:asciiTheme="majorHAnsi" w:hAnsiTheme="majorHAnsi" w:cstheme="majorBidi"/>
          <w:sz w:val="22"/>
          <w:szCs w:val="22"/>
          <w:lang w:val="mi-NZ"/>
        </w:rPr>
        <w:t>Results thus far show that</w:t>
      </w:r>
      <w:r w:rsidR="00157D98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 financial wellbeing has improved with the return of tourism, </w:t>
      </w:r>
      <w:r w:rsidR="00780F08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as international tourists </w:t>
      </w:r>
      <w:r w:rsidR="00F45D0C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have rejuvenated businesses and ensured employment for thousands of Pacific people. </w:t>
      </w:r>
      <w:r w:rsidR="00780F08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Physical wellbeing has declined with the return of tourism, as people were eating </w:t>
      </w:r>
      <w:r w:rsidR="00C70814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more home-grown food </w:t>
      </w:r>
      <w:r w:rsidR="00780F08" w:rsidRPr="04B43EA8">
        <w:rPr>
          <w:rFonts w:asciiTheme="majorHAnsi" w:hAnsiTheme="majorHAnsi" w:cstheme="majorBidi"/>
          <w:sz w:val="22"/>
          <w:szCs w:val="22"/>
          <w:lang w:val="mi-NZ"/>
        </w:rPr>
        <w:t>from the land</w:t>
      </w:r>
      <w:r w:rsidR="00C70814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, as well as seafood, </w:t>
      </w:r>
      <w:r w:rsidR="00780F08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during lockdowns and exercising more, which they cannot do as they return to 9-5 jobs. </w:t>
      </w:r>
      <w:r w:rsidR="00E67473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Mental and social wellbeing stayed </w:t>
      </w:r>
      <w:r w:rsidR="009454A6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high </w:t>
      </w:r>
      <w:r w:rsidR="00E67473" w:rsidRPr="04B43EA8">
        <w:rPr>
          <w:rFonts w:asciiTheme="majorHAnsi" w:hAnsiTheme="majorHAnsi" w:cstheme="majorBidi"/>
          <w:sz w:val="22"/>
          <w:szCs w:val="22"/>
          <w:lang w:val="mi-NZ"/>
        </w:rPr>
        <w:t>before</w:t>
      </w:r>
      <w:r w:rsidR="00C70814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 and </w:t>
      </w:r>
      <w:r w:rsidR="00E67473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after tourists returned, </w:t>
      </w:r>
      <w:r w:rsidR="00E54D5C" w:rsidRPr="04B43EA8">
        <w:rPr>
          <w:rFonts w:asciiTheme="majorHAnsi" w:hAnsiTheme="majorHAnsi" w:cstheme="majorBidi"/>
          <w:sz w:val="22"/>
          <w:szCs w:val="22"/>
          <w:lang w:val="mi-NZ"/>
        </w:rPr>
        <w:t>but comments indicated that different</w:t>
      </w:r>
      <w:r w:rsidR="00E67473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 aspects of these wellbeings were satisfied before</w:t>
      </w:r>
      <w:r w:rsidR="00E54D5C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 and </w:t>
      </w:r>
      <w:r w:rsidR="00E67473" w:rsidRPr="04B43EA8">
        <w:rPr>
          <w:rFonts w:asciiTheme="majorHAnsi" w:hAnsiTheme="majorHAnsi" w:cstheme="majorBidi"/>
          <w:sz w:val="22"/>
          <w:szCs w:val="22"/>
          <w:lang w:val="mi-NZ"/>
        </w:rPr>
        <w:t>after tourists</w:t>
      </w:r>
      <w:r w:rsidR="00E54D5C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 returned. S</w:t>
      </w:r>
      <w:r w:rsidR="0074655F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ocial wellbeing, for example, was satisfied during lockdowns as people had </w:t>
      </w:r>
      <w:r w:rsidR="0090189C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much more </w:t>
      </w:r>
      <w:r w:rsidR="0074655F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valuable family time, but in leaving lockdown people were happy to </w:t>
      </w:r>
      <w:r w:rsidR="0090189C" w:rsidRPr="04B43EA8">
        <w:rPr>
          <w:rFonts w:asciiTheme="majorHAnsi" w:hAnsiTheme="majorHAnsi" w:cstheme="majorBidi"/>
          <w:sz w:val="22"/>
          <w:szCs w:val="22"/>
          <w:lang w:val="mi-NZ"/>
        </w:rPr>
        <w:t>be able to reconnect with friends from further afield</w:t>
      </w:r>
      <w:r w:rsidR="0074655F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. </w:t>
      </w:r>
      <w:r w:rsidR="00EB047D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Spiritual wellbeing was </w:t>
      </w:r>
      <w:r w:rsidR="00CC4F3E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also strong during both phases of the research, </w:t>
      </w:r>
      <w:r w:rsidR="00EB047D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but more people indicated that their spiritual wellbeing was very good </w:t>
      </w:r>
      <w:r w:rsidR="00FB279A" w:rsidRPr="04B43EA8">
        <w:rPr>
          <w:rFonts w:asciiTheme="majorHAnsi" w:hAnsiTheme="majorHAnsi" w:cstheme="majorBidi"/>
          <w:sz w:val="22"/>
          <w:szCs w:val="22"/>
          <w:lang w:val="mi-NZ"/>
        </w:rPr>
        <w:t>during border closures than after border closures</w:t>
      </w:r>
      <w:r w:rsidR="00EB047D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, which could be </w:t>
      </w:r>
      <w:r w:rsidR="00B05EFE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attributed to having </w:t>
      </w:r>
      <w:r w:rsidR="00EB047D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more time to </w:t>
      </w:r>
      <w:r w:rsidR="004A7767" w:rsidRPr="04B43EA8">
        <w:rPr>
          <w:rFonts w:asciiTheme="majorHAnsi" w:hAnsiTheme="majorHAnsi" w:cstheme="majorBidi"/>
          <w:sz w:val="22"/>
          <w:szCs w:val="22"/>
          <w:lang w:val="mi-NZ"/>
        </w:rPr>
        <w:t>attend church</w:t>
      </w:r>
      <w:r w:rsidR="00B05EFE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 and pray</w:t>
      </w:r>
      <w:r w:rsidR="004A7767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. </w:t>
      </w:r>
      <w:r w:rsidR="00680025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Environmental wellbeing was </w:t>
      </w:r>
      <w:r w:rsidR="00F16653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significantly </w:t>
      </w:r>
      <w:r w:rsidR="00C3522A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better before tourists returned compared to after, as </w:t>
      </w:r>
      <w:r w:rsidR="00963948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Fijian and Cook Islands people </w:t>
      </w:r>
      <w:r w:rsidR="004D3C4F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noted the increased </w:t>
      </w:r>
      <w:r w:rsidR="00963948" w:rsidRPr="04B43EA8">
        <w:rPr>
          <w:rFonts w:asciiTheme="majorHAnsi" w:hAnsiTheme="majorHAnsi" w:cstheme="majorBidi"/>
          <w:sz w:val="22"/>
          <w:szCs w:val="22"/>
          <w:lang w:val="mi-NZ"/>
        </w:rPr>
        <w:t>rubbish</w:t>
      </w:r>
      <w:r w:rsidR="004D3C4F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 </w:t>
      </w:r>
      <w:r w:rsidR="006C1562" w:rsidRPr="04B43EA8">
        <w:rPr>
          <w:rFonts w:asciiTheme="majorHAnsi" w:hAnsiTheme="majorHAnsi" w:cstheme="majorBidi"/>
          <w:sz w:val="22"/>
          <w:szCs w:val="22"/>
          <w:lang w:val="mi-NZ"/>
        </w:rPr>
        <w:t>as tourists returned and</w:t>
      </w:r>
      <w:r w:rsidR="004D3C4F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 people returned to their normal jobs. </w:t>
      </w:r>
    </w:p>
    <w:p w14:paraId="32132039" w14:textId="1C315892" w:rsidR="006E1CB8" w:rsidRDefault="006E1CB8" w:rsidP="04B43EA8">
      <w:pPr>
        <w:spacing w:line="276" w:lineRule="auto"/>
        <w:ind w:firstLine="720"/>
        <w:jc w:val="both"/>
        <w:rPr>
          <w:rFonts w:asciiTheme="majorHAnsi" w:hAnsiTheme="majorHAnsi" w:cstheme="majorBidi"/>
          <w:sz w:val="22"/>
          <w:szCs w:val="22"/>
          <w:lang w:val="mi-NZ"/>
        </w:rPr>
      </w:pPr>
      <w:r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Overall, there are mixed implications for the wellbeing of Pacific peoples as tourists return to these destinations, but </w:t>
      </w:r>
      <w:r w:rsidR="000956C0" w:rsidRPr="04B43EA8">
        <w:rPr>
          <w:rFonts w:asciiTheme="majorHAnsi" w:hAnsiTheme="majorHAnsi" w:cstheme="majorBidi"/>
          <w:sz w:val="22"/>
          <w:szCs w:val="22"/>
          <w:lang w:val="mi-NZ"/>
        </w:rPr>
        <w:t>comparisons with earlier data (Scheyvens et al., 2020)</w:t>
      </w:r>
      <w:r w:rsidR="00FF1F90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 suggest</w:t>
      </w:r>
      <w:r w:rsidR="000956C0" w:rsidRPr="04B43EA8">
        <w:rPr>
          <w:rFonts w:asciiTheme="majorHAnsi" w:hAnsiTheme="majorHAnsi" w:cstheme="majorBidi"/>
          <w:sz w:val="22"/>
          <w:szCs w:val="22"/>
          <w:lang w:val="mi-NZ"/>
        </w:rPr>
        <w:t>s</w:t>
      </w:r>
      <w:r w:rsidR="00FF1F90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 that </w:t>
      </w:r>
      <w:r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many aspects of wellbeing </w:t>
      </w:r>
      <w:r w:rsidR="00E278BE" w:rsidRPr="04B43EA8">
        <w:rPr>
          <w:rFonts w:asciiTheme="majorHAnsi" w:hAnsiTheme="majorHAnsi" w:cstheme="majorBidi"/>
          <w:sz w:val="22"/>
          <w:szCs w:val="22"/>
          <w:lang w:val="mi-NZ"/>
        </w:rPr>
        <w:t>improved</w:t>
      </w:r>
      <w:r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 when locals were </w:t>
      </w:r>
      <w:r w:rsidR="00E278BE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better </w:t>
      </w:r>
      <w:r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connected to the </w:t>
      </w:r>
      <w:r w:rsidRPr="04B43EA8">
        <w:rPr>
          <w:rFonts w:asciiTheme="majorHAnsi" w:hAnsiTheme="majorHAnsi" w:cstheme="majorBidi"/>
          <w:i/>
          <w:iCs/>
          <w:sz w:val="22"/>
          <w:szCs w:val="22"/>
          <w:lang w:val="mi-NZ"/>
        </w:rPr>
        <w:t>vanua</w:t>
      </w:r>
      <w:r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 (land)</w:t>
      </w:r>
      <w:r w:rsidR="00E278BE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, and each other during COVID-19 lockdowns. </w:t>
      </w:r>
    </w:p>
    <w:p w14:paraId="125570A8" w14:textId="6F4E86E8" w:rsidR="04B43EA8" w:rsidRDefault="04B43EA8" w:rsidP="04B43EA8">
      <w:pPr>
        <w:spacing w:line="276" w:lineRule="auto"/>
        <w:ind w:firstLine="720"/>
        <w:jc w:val="center"/>
        <w:rPr>
          <w:rFonts w:asciiTheme="majorHAnsi" w:hAnsiTheme="majorHAnsi" w:cstheme="majorBidi"/>
          <w:sz w:val="22"/>
          <w:szCs w:val="22"/>
          <w:lang w:val="mi-NZ"/>
        </w:rPr>
      </w:pPr>
    </w:p>
    <w:p w14:paraId="6457A4BF" w14:textId="75EC0BE5" w:rsidR="00A1454D" w:rsidRDefault="00A1454D" w:rsidP="04B43EA8">
      <w:pPr>
        <w:spacing w:line="276" w:lineRule="auto"/>
        <w:jc w:val="center"/>
        <w:rPr>
          <w:rFonts w:asciiTheme="majorHAnsi" w:hAnsiTheme="majorHAnsi" w:cstheme="majorBidi"/>
          <w:sz w:val="22"/>
          <w:szCs w:val="22"/>
          <w:lang w:val="mi-NZ"/>
        </w:rPr>
      </w:pPr>
      <w:r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Would you like to learn more about this research? </w:t>
      </w:r>
    </w:p>
    <w:p w14:paraId="10213EC1" w14:textId="35A72D40" w:rsidR="00C01DCB" w:rsidRDefault="00C01DCB" w:rsidP="04B43EA8">
      <w:pPr>
        <w:spacing w:line="276" w:lineRule="auto"/>
        <w:jc w:val="center"/>
        <w:rPr>
          <w:rFonts w:asciiTheme="majorHAnsi" w:hAnsiTheme="majorHAnsi" w:cstheme="majorBidi"/>
          <w:sz w:val="22"/>
          <w:szCs w:val="22"/>
          <w:lang w:val="mi-NZ"/>
        </w:rPr>
      </w:pPr>
      <w:r w:rsidRPr="04B43EA8">
        <w:rPr>
          <w:rFonts w:asciiTheme="majorHAnsi" w:hAnsiTheme="majorHAnsi" w:cstheme="majorBidi"/>
          <w:sz w:val="22"/>
          <w:szCs w:val="22"/>
          <w:lang w:val="mi-NZ"/>
        </w:rPr>
        <w:t>Check out our website</w:t>
      </w:r>
      <w:r w:rsidR="00485B29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 for articles,</w:t>
      </w:r>
      <w:r w:rsidR="57EBA5CD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 </w:t>
      </w:r>
      <w:r w:rsidR="00485B29" w:rsidRPr="04B43EA8">
        <w:rPr>
          <w:rFonts w:asciiTheme="majorHAnsi" w:hAnsiTheme="majorHAnsi" w:cstheme="majorBidi"/>
          <w:sz w:val="22"/>
          <w:szCs w:val="22"/>
          <w:lang w:val="mi-NZ"/>
        </w:rPr>
        <w:t>videos, blogs and</w:t>
      </w:r>
      <w:r w:rsidR="7F9EFE93" w:rsidRPr="04B43EA8">
        <w:rPr>
          <w:rFonts w:asciiTheme="majorHAnsi" w:hAnsiTheme="majorHAnsi" w:cstheme="majorBidi"/>
          <w:sz w:val="22"/>
          <w:szCs w:val="22"/>
          <w:lang w:val="mi-NZ"/>
        </w:rPr>
        <w:t xml:space="preserve"> </w:t>
      </w:r>
      <w:r w:rsidR="00485B29" w:rsidRPr="04B43EA8">
        <w:rPr>
          <w:rFonts w:asciiTheme="majorHAnsi" w:hAnsiTheme="majorHAnsi" w:cstheme="majorBidi"/>
          <w:sz w:val="22"/>
          <w:szCs w:val="22"/>
          <w:lang w:val="mi-NZ"/>
        </w:rPr>
        <w:t>more!</w:t>
      </w:r>
    </w:p>
    <w:p w14:paraId="40E853EF" w14:textId="79BF1E02" w:rsidR="63336C8D" w:rsidRDefault="63336C8D" w:rsidP="04B43EA8">
      <w:pPr>
        <w:spacing w:line="276" w:lineRule="auto"/>
        <w:jc w:val="center"/>
      </w:pPr>
      <w:r>
        <w:rPr>
          <w:noProof/>
        </w:rPr>
        <w:drawing>
          <wp:inline distT="0" distB="0" distL="0" distR="0" wp14:anchorId="664DB014" wp14:editId="309ACF29">
            <wp:extent cx="1485900" cy="1485900"/>
            <wp:effectExtent l="0" t="0" r="0" b="0"/>
            <wp:docPr id="1961676150" name="Picture 1961676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53E60" w14:textId="65D735B2" w:rsidR="00124294" w:rsidRDefault="00124294" w:rsidP="04B43EA8">
      <w:pPr>
        <w:spacing w:line="276" w:lineRule="auto"/>
        <w:jc w:val="center"/>
        <w:rPr>
          <w:rFonts w:asciiTheme="majorHAnsi" w:hAnsiTheme="majorHAnsi" w:cstheme="majorBidi"/>
          <w:b/>
          <w:bCs/>
          <w:sz w:val="20"/>
          <w:szCs w:val="20"/>
          <w:lang w:val="mi-NZ"/>
        </w:rPr>
      </w:pPr>
      <w:r w:rsidRPr="04B43EA8">
        <w:rPr>
          <w:rFonts w:asciiTheme="majorHAnsi" w:hAnsiTheme="majorHAnsi" w:cstheme="majorBidi"/>
          <w:b/>
          <w:bCs/>
          <w:sz w:val="20"/>
          <w:szCs w:val="20"/>
          <w:lang w:val="mi-NZ"/>
        </w:rPr>
        <w:t>References</w:t>
      </w:r>
    </w:p>
    <w:p w14:paraId="39BB8E90" w14:textId="77777777" w:rsidR="00124294" w:rsidRPr="00124294" w:rsidRDefault="00124294" w:rsidP="006E1CB8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mi-NZ"/>
        </w:rPr>
      </w:pPr>
    </w:p>
    <w:p w14:paraId="0DE537F1" w14:textId="6FC6660F" w:rsidR="6829DEBF" w:rsidRDefault="6829DEBF" w:rsidP="04B43EA8">
      <w:pPr>
        <w:ind w:left="720" w:hanging="720"/>
        <w:jc w:val="both"/>
        <w:rPr>
          <w:rFonts w:asciiTheme="majorHAnsi" w:hAnsiTheme="majorHAnsi" w:cstheme="majorBidi"/>
          <w:sz w:val="16"/>
          <w:szCs w:val="16"/>
          <w:lang w:val="mi-NZ"/>
        </w:rPr>
      </w:pPr>
      <w:r w:rsidRPr="04B43EA8">
        <w:rPr>
          <w:rFonts w:asciiTheme="majorHAnsi" w:hAnsiTheme="majorHAnsi" w:cstheme="majorBidi"/>
          <w:sz w:val="18"/>
          <w:szCs w:val="18"/>
          <w:lang w:val="mi-NZ"/>
        </w:rPr>
        <w:t>Scheyvens, R., Movono, A., Strickland, D., Bibi, P., Tasere, A., Hills, G., ... &amp; Teama, F. (2020). Development in a world of disorder: tourism, COVID-19 and the adaptivity of South Pacific people.</w:t>
      </w:r>
    </w:p>
    <w:p w14:paraId="08EC7C86" w14:textId="6267FDEA" w:rsidR="04B43EA8" w:rsidRDefault="04B43EA8" w:rsidP="04B43EA8">
      <w:pPr>
        <w:ind w:left="720" w:hanging="720"/>
        <w:jc w:val="both"/>
        <w:rPr>
          <w:rFonts w:asciiTheme="majorHAnsi" w:hAnsiTheme="majorHAnsi" w:cstheme="majorBidi"/>
          <w:sz w:val="18"/>
          <w:szCs w:val="18"/>
          <w:lang w:val="mi-NZ"/>
        </w:rPr>
      </w:pPr>
    </w:p>
    <w:p w14:paraId="38690F60" w14:textId="1753F004" w:rsidR="26CEC3F1" w:rsidRDefault="26CEC3F1" w:rsidP="04B43EA8">
      <w:pPr>
        <w:ind w:left="720" w:hanging="720"/>
        <w:jc w:val="both"/>
        <w:rPr>
          <w:rFonts w:asciiTheme="majorHAnsi" w:hAnsiTheme="majorHAnsi" w:cstheme="majorBidi"/>
          <w:sz w:val="16"/>
          <w:szCs w:val="16"/>
          <w:lang w:val="mi-NZ"/>
        </w:rPr>
      </w:pPr>
      <w:r w:rsidRPr="04B43EA8">
        <w:rPr>
          <w:rFonts w:asciiTheme="majorHAnsi" w:hAnsiTheme="majorHAnsi" w:cstheme="majorBidi"/>
          <w:sz w:val="18"/>
          <w:szCs w:val="18"/>
          <w:lang w:val="mi-NZ"/>
        </w:rPr>
        <w:t>Hutchison, B., Movono, A., &amp; Scheyvens, R. (2021). Resetting tourism post-COVID-19: why Indigenous Peoples must be central to the conversation. Tourism recreation research, 46(2), 261-275.</w:t>
      </w:r>
    </w:p>
    <w:p w14:paraId="613BFA46" w14:textId="0899CD21" w:rsidR="04B43EA8" w:rsidRDefault="04B43EA8" w:rsidP="04B43EA8">
      <w:pPr>
        <w:ind w:left="720" w:hanging="720"/>
        <w:jc w:val="both"/>
        <w:rPr>
          <w:rFonts w:asciiTheme="majorHAnsi" w:hAnsiTheme="majorHAnsi" w:cstheme="majorBidi"/>
          <w:sz w:val="18"/>
          <w:szCs w:val="18"/>
          <w:lang w:val="mi-NZ"/>
        </w:rPr>
      </w:pPr>
    </w:p>
    <w:p w14:paraId="513C176D" w14:textId="4A019FF6" w:rsidR="26CEC3F1" w:rsidRDefault="26CEC3F1" w:rsidP="04B43EA8">
      <w:pPr>
        <w:ind w:left="720" w:hanging="720"/>
        <w:jc w:val="both"/>
        <w:rPr>
          <w:rFonts w:asciiTheme="majorHAnsi" w:hAnsiTheme="majorHAnsi" w:cstheme="majorBidi"/>
          <w:sz w:val="16"/>
          <w:szCs w:val="16"/>
          <w:lang w:val="mi-NZ"/>
        </w:rPr>
      </w:pPr>
      <w:r w:rsidRPr="04B43EA8">
        <w:rPr>
          <w:rFonts w:asciiTheme="majorHAnsi" w:hAnsiTheme="majorHAnsi" w:cstheme="majorBidi"/>
          <w:sz w:val="18"/>
          <w:szCs w:val="18"/>
          <w:lang w:val="mi-NZ"/>
        </w:rPr>
        <w:t>Movono, A., &amp; Scheyvens, R. (2021). Tourism in a World of Disorder: A Return to the Vanua and Kinship with Nature in Fiji. In COVID in the Islands: A comparative perspective on the Caribbean and the Pacific (pp. 265-277). Palgrave Macmillan, Singapore.</w:t>
      </w:r>
    </w:p>
    <w:p w14:paraId="7A637A9E" w14:textId="03062943" w:rsidR="04B43EA8" w:rsidRDefault="04B43EA8" w:rsidP="04B43EA8">
      <w:pPr>
        <w:ind w:left="720" w:hanging="720"/>
        <w:jc w:val="both"/>
        <w:rPr>
          <w:rFonts w:asciiTheme="majorHAnsi" w:hAnsiTheme="majorHAnsi" w:cstheme="majorBidi"/>
          <w:sz w:val="18"/>
          <w:szCs w:val="18"/>
          <w:lang w:val="mi-NZ"/>
        </w:rPr>
      </w:pPr>
    </w:p>
    <w:p w14:paraId="77EECDB2" w14:textId="1615D2DE" w:rsidR="26CEC3F1" w:rsidRDefault="26CEC3F1" w:rsidP="04B43EA8">
      <w:pPr>
        <w:ind w:left="720" w:hanging="720"/>
        <w:jc w:val="both"/>
        <w:rPr>
          <w:rFonts w:asciiTheme="majorHAnsi" w:hAnsiTheme="majorHAnsi" w:cstheme="majorBidi"/>
          <w:sz w:val="16"/>
          <w:szCs w:val="16"/>
          <w:lang w:val="mi-NZ"/>
        </w:rPr>
      </w:pPr>
      <w:r w:rsidRPr="04B43EA8">
        <w:rPr>
          <w:rFonts w:asciiTheme="majorHAnsi" w:hAnsiTheme="majorHAnsi" w:cstheme="majorBidi"/>
          <w:sz w:val="18"/>
          <w:szCs w:val="18"/>
          <w:lang w:val="mi-NZ"/>
        </w:rPr>
        <w:t>Scheyvens, R. A., Movono, A., &amp; Auckram, S. (2021). Pacific peoples and the pandemic: exploring multiple well-beings of people in tourism-dependent communities. Journal of Sustainable Tourism, 1-20.</w:t>
      </w:r>
    </w:p>
    <w:p w14:paraId="2E0E55DF" w14:textId="7EE25866" w:rsidR="04B43EA8" w:rsidRDefault="04B43EA8" w:rsidP="04B43EA8">
      <w:pPr>
        <w:ind w:left="720" w:hanging="720"/>
        <w:jc w:val="both"/>
        <w:rPr>
          <w:rFonts w:asciiTheme="majorHAnsi" w:hAnsiTheme="majorHAnsi" w:cstheme="majorBidi"/>
          <w:sz w:val="18"/>
          <w:szCs w:val="18"/>
          <w:lang w:val="mi-NZ"/>
        </w:rPr>
      </w:pPr>
    </w:p>
    <w:p w14:paraId="0AF9C5E6" w14:textId="5906B435" w:rsidR="26CEC3F1" w:rsidRDefault="26CEC3F1" w:rsidP="04B43EA8">
      <w:pPr>
        <w:ind w:left="720" w:hanging="720"/>
        <w:jc w:val="both"/>
        <w:rPr>
          <w:rFonts w:asciiTheme="majorHAnsi" w:hAnsiTheme="majorHAnsi" w:cstheme="majorBidi"/>
          <w:sz w:val="16"/>
          <w:szCs w:val="16"/>
          <w:lang w:val="mi-NZ"/>
        </w:rPr>
      </w:pPr>
      <w:r w:rsidRPr="04B43EA8">
        <w:rPr>
          <w:rFonts w:asciiTheme="majorHAnsi" w:hAnsiTheme="majorHAnsi" w:cstheme="majorBidi"/>
          <w:sz w:val="18"/>
          <w:szCs w:val="18"/>
          <w:lang w:val="mi-NZ"/>
        </w:rPr>
        <w:t>Movono, A., &amp; Scheyvens, R. (2022). Adapting and reacting to Covid-19: Tourism and resilience in the South Pacific.</w:t>
      </w:r>
    </w:p>
    <w:p w14:paraId="479253FD" w14:textId="48816C9C" w:rsidR="04B43EA8" w:rsidRDefault="04B43EA8" w:rsidP="04B43EA8">
      <w:pPr>
        <w:ind w:left="720" w:hanging="720"/>
        <w:jc w:val="both"/>
        <w:rPr>
          <w:rFonts w:asciiTheme="majorHAnsi" w:hAnsiTheme="majorHAnsi" w:cstheme="majorBidi"/>
          <w:sz w:val="18"/>
          <w:szCs w:val="18"/>
          <w:lang w:val="mi-NZ"/>
        </w:rPr>
      </w:pPr>
    </w:p>
    <w:p w14:paraId="0E38A99D" w14:textId="1E308989" w:rsidR="26CEC3F1" w:rsidRDefault="26CEC3F1" w:rsidP="04B43EA8">
      <w:pPr>
        <w:ind w:left="720" w:hanging="720"/>
        <w:jc w:val="both"/>
        <w:rPr>
          <w:rFonts w:asciiTheme="majorHAnsi" w:hAnsiTheme="majorHAnsi" w:cstheme="majorBidi"/>
          <w:sz w:val="16"/>
          <w:szCs w:val="16"/>
          <w:lang w:val="mi-NZ"/>
        </w:rPr>
      </w:pPr>
      <w:r w:rsidRPr="04B43EA8">
        <w:rPr>
          <w:rFonts w:asciiTheme="majorHAnsi" w:hAnsiTheme="majorHAnsi" w:cstheme="majorBidi"/>
          <w:sz w:val="18"/>
          <w:szCs w:val="18"/>
          <w:lang w:val="mi-NZ"/>
        </w:rPr>
        <w:t>Movono, A., Scheyvens, R., &amp; Auckram, S. (2022). Silver linings around dark clouds: Tourism, Covid‐19 and a return to traditional values, villages and the vanua. Asia Pacific Viewpoint.</w:t>
      </w:r>
    </w:p>
    <w:p w14:paraId="263ECB1C" w14:textId="4CD7A10F" w:rsidR="04B43EA8" w:rsidRDefault="04B43EA8" w:rsidP="04B43EA8">
      <w:pPr>
        <w:ind w:left="720" w:hanging="720"/>
        <w:jc w:val="both"/>
        <w:rPr>
          <w:rFonts w:asciiTheme="majorHAnsi" w:hAnsiTheme="majorHAnsi" w:cstheme="majorBidi"/>
          <w:sz w:val="18"/>
          <w:szCs w:val="18"/>
          <w:lang w:val="mi-NZ"/>
        </w:rPr>
      </w:pPr>
    </w:p>
    <w:p w14:paraId="0F394975" w14:textId="35D34FE1" w:rsidR="26CEC3F1" w:rsidRDefault="26CEC3F1" w:rsidP="04B43EA8">
      <w:pPr>
        <w:ind w:left="720" w:hanging="720"/>
        <w:jc w:val="both"/>
        <w:rPr>
          <w:rFonts w:asciiTheme="majorHAnsi" w:hAnsiTheme="majorHAnsi" w:cstheme="majorBidi"/>
          <w:sz w:val="16"/>
          <w:szCs w:val="16"/>
          <w:lang w:val="mi-NZ"/>
        </w:rPr>
      </w:pPr>
      <w:r w:rsidRPr="04B43EA8">
        <w:rPr>
          <w:rFonts w:asciiTheme="majorHAnsi" w:hAnsiTheme="majorHAnsi" w:cstheme="majorBidi"/>
          <w:sz w:val="18"/>
          <w:szCs w:val="18"/>
          <w:lang w:val="mi-NZ"/>
        </w:rPr>
        <w:t>Scheyvens, Regina, Apisalome Movono, Apakuki Tasere, Pita Neihapi, Lagi Taua’i, Lauren Turner, James Uri-Puati, and Jessie Auckram. "Measuring the wellbeing of tourism-reliant communities in the South Pacific during the COVID-19 pandemic." (2022).</w:t>
      </w:r>
    </w:p>
    <w:p w14:paraId="4A37F545" w14:textId="20D4C2E9" w:rsidR="04B43EA8" w:rsidRDefault="04B43EA8" w:rsidP="04B43EA8">
      <w:pPr>
        <w:ind w:left="720" w:hanging="720"/>
        <w:jc w:val="both"/>
        <w:rPr>
          <w:rFonts w:asciiTheme="majorHAnsi" w:hAnsiTheme="majorHAnsi" w:cstheme="majorBidi"/>
          <w:sz w:val="18"/>
          <w:szCs w:val="18"/>
          <w:lang w:val="mi-NZ"/>
        </w:rPr>
      </w:pPr>
    </w:p>
    <w:p w14:paraId="128F2D42" w14:textId="0AFE6FF3" w:rsidR="24188E54" w:rsidRDefault="24188E54" w:rsidP="04B43EA8">
      <w:pPr>
        <w:ind w:left="720" w:hanging="720"/>
        <w:jc w:val="both"/>
        <w:rPr>
          <w:rFonts w:asciiTheme="majorHAnsi" w:hAnsiTheme="majorHAnsi" w:cstheme="majorBidi"/>
          <w:sz w:val="16"/>
          <w:szCs w:val="16"/>
          <w:lang w:val="mi-NZ"/>
        </w:rPr>
      </w:pPr>
      <w:r w:rsidRPr="04B43EA8">
        <w:rPr>
          <w:rFonts w:asciiTheme="majorHAnsi" w:hAnsiTheme="majorHAnsi" w:cstheme="majorBidi"/>
          <w:sz w:val="18"/>
          <w:szCs w:val="18"/>
          <w:lang w:val="mi-NZ"/>
        </w:rPr>
        <w:t>Movono, A., &amp; Scheyvens, R. (2022). Tourism and Politics: Responses to Crises in Island States. Tourism Planning &amp; Development, 19(1), 50-60.</w:t>
      </w:r>
    </w:p>
    <w:p w14:paraId="57041053" w14:textId="51180CE9" w:rsidR="04B43EA8" w:rsidRDefault="04B43EA8" w:rsidP="04B43EA8">
      <w:pPr>
        <w:spacing w:line="276" w:lineRule="auto"/>
        <w:jc w:val="both"/>
        <w:rPr>
          <w:rFonts w:asciiTheme="majorHAnsi" w:hAnsiTheme="majorHAnsi" w:cstheme="majorBidi"/>
          <w:sz w:val="22"/>
          <w:szCs w:val="22"/>
          <w:lang w:val="mi-NZ"/>
        </w:rPr>
      </w:pPr>
    </w:p>
    <w:sectPr w:rsidR="04B43EA8" w:rsidSect="00BC78D5">
      <w:pgSz w:w="11900" w:h="16840"/>
      <w:pgMar w:top="1021" w:right="1361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75"/>
    <w:rsid w:val="00001833"/>
    <w:rsid w:val="00022C04"/>
    <w:rsid w:val="0003176D"/>
    <w:rsid w:val="00033900"/>
    <w:rsid w:val="000956C0"/>
    <w:rsid w:val="000D3212"/>
    <w:rsid w:val="0012407E"/>
    <w:rsid w:val="00124294"/>
    <w:rsid w:val="0013519B"/>
    <w:rsid w:val="00157D98"/>
    <w:rsid w:val="001B6C5E"/>
    <w:rsid w:val="001D2BC2"/>
    <w:rsid w:val="001E3D9A"/>
    <w:rsid w:val="001E7FA8"/>
    <w:rsid w:val="0023606B"/>
    <w:rsid w:val="00270E0A"/>
    <w:rsid w:val="00273544"/>
    <w:rsid w:val="00273D75"/>
    <w:rsid w:val="002E2BA1"/>
    <w:rsid w:val="003A7CE4"/>
    <w:rsid w:val="003D24AB"/>
    <w:rsid w:val="003D65F8"/>
    <w:rsid w:val="00420E79"/>
    <w:rsid w:val="0044168A"/>
    <w:rsid w:val="0047676B"/>
    <w:rsid w:val="00485B29"/>
    <w:rsid w:val="00486B3D"/>
    <w:rsid w:val="004A035D"/>
    <w:rsid w:val="004A3AAA"/>
    <w:rsid w:val="004A7767"/>
    <w:rsid w:val="004D3C4F"/>
    <w:rsid w:val="004F55E5"/>
    <w:rsid w:val="004F7651"/>
    <w:rsid w:val="00503B54"/>
    <w:rsid w:val="00507444"/>
    <w:rsid w:val="0054476A"/>
    <w:rsid w:val="005617C1"/>
    <w:rsid w:val="0056357A"/>
    <w:rsid w:val="00597204"/>
    <w:rsid w:val="005A4747"/>
    <w:rsid w:val="005C3AA1"/>
    <w:rsid w:val="005F2733"/>
    <w:rsid w:val="005F6B1B"/>
    <w:rsid w:val="006234C7"/>
    <w:rsid w:val="00643FAB"/>
    <w:rsid w:val="00680025"/>
    <w:rsid w:val="0069177D"/>
    <w:rsid w:val="006C1562"/>
    <w:rsid w:val="006C63C8"/>
    <w:rsid w:val="006E0440"/>
    <w:rsid w:val="006E1CB8"/>
    <w:rsid w:val="0070143F"/>
    <w:rsid w:val="00743B4A"/>
    <w:rsid w:val="0074655F"/>
    <w:rsid w:val="00780F08"/>
    <w:rsid w:val="007B30CD"/>
    <w:rsid w:val="007E0E8D"/>
    <w:rsid w:val="007E214C"/>
    <w:rsid w:val="00883BE3"/>
    <w:rsid w:val="008F3E96"/>
    <w:rsid w:val="0090189C"/>
    <w:rsid w:val="00903ADA"/>
    <w:rsid w:val="009418D8"/>
    <w:rsid w:val="009454A6"/>
    <w:rsid w:val="00947561"/>
    <w:rsid w:val="00963948"/>
    <w:rsid w:val="00964109"/>
    <w:rsid w:val="00975355"/>
    <w:rsid w:val="009A0179"/>
    <w:rsid w:val="009C182E"/>
    <w:rsid w:val="009C2F82"/>
    <w:rsid w:val="009D3368"/>
    <w:rsid w:val="009D4073"/>
    <w:rsid w:val="009E0C14"/>
    <w:rsid w:val="009E3940"/>
    <w:rsid w:val="009F5F23"/>
    <w:rsid w:val="00A1454D"/>
    <w:rsid w:val="00A16EFD"/>
    <w:rsid w:val="00A35B76"/>
    <w:rsid w:val="00A735B9"/>
    <w:rsid w:val="00AA4019"/>
    <w:rsid w:val="00AE6F85"/>
    <w:rsid w:val="00B05EFE"/>
    <w:rsid w:val="00B471DA"/>
    <w:rsid w:val="00B5497C"/>
    <w:rsid w:val="00B95F7D"/>
    <w:rsid w:val="00BC78D5"/>
    <w:rsid w:val="00C01DCB"/>
    <w:rsid w:val="00C3522A"/>
    <w:rsid w:val="00C37825"/>
    <w:rsid w:val="00C44E8C"/>
    <w:rsid w:val="00C55F3A"/>
    <w:rsid w:val="00C64075"/>
    <w:rsid w:val="00C70814"/>
    <w:rsid w:val="00CC4F3E"/>
    <w:rsid w:val="00DA2C85"/>
    <w:rsid w:val="00DD0AAB"/>
    <w:rsid w:val="00E25499"/>
    <w:rsid w:val="00E278BE"/>
    <w:rsid w:val="00E4652B"/>
    <w:rsid w:val="00E54D5C"/>
    <w:rsid w:val="00E67473"/>
    <w:rsid w:val="00EB047D"/>
    <w:rsid w:val="00EC1AFB"/>
    <w:rsid w:val="00F02C3D"/>
    <w:rsid w:val="00F16653"/>
    <w:rsid w:val="00F45D0C"/>
    <w:rsid w:val="00FA2A31"/>
    <w:rsid w:val="00FB279A"/>
    <w:rsid w:val="00FB3C0D"/>
    <w:rsid w:val="00FF1F90"/>
    <w:rsid w:val="04B43EA8"/>
    <w:rsid w:val="139475AF"/>
    <w:rsid w:val="14092CA7"/>
    <w:rsid w:val="16153069"/>
    <w:rsid w:val="1727A50C"/>
    <w:rsid w:val="1BFB162F"/>
    <w:rsid w:val="24188E54"/>
    <w:rsid w:val="25A9E5FB"/>
    <w:rsid w:val="26CEC3F1"/>
    <w:rsid w:val="2745B65C"/>
    <w:rsid w:val="28E186BD"/>
    <w:rsid w:val="2A7D571E"/>
    <w:rsid w:val="2DB4F7E0"/>
    <w:rsid w:val="2F50C841"/>
    <w:rsid w:val="338DB79F"/>
    <w:rsid w:val="5057AA6B"/>
    <w:rsid w:val="51F37ACC"/>
    <w:rsid w:val="57EBA5CD"/>
    <w:rsid w:val="63336C8D"/>
    <w:rsid w:val="6829DEBF"/>
    <w:rsid w:val="6C8B1B72"/>
    <w:rsid w:val="6E26EBD3"/>
    <w:rsid w:val="79718C00"/>
    <w:rsid w:val="7CA92CC2"/>
    <w:rsid w:val="7F9EF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2FD94"/>
  <w15:chartTrackingRefBased/>
  <w15:docId w15:val="{944F6DEB-C29A-5647-9DE7-E4D0F64F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1194</Words>
  <Characters>6810</Characters>
  <Application>Microsoft Office Word</Application>
  <DocSecurity>0</DocSecurity>
  <Lines>56</Lines>
  <Paragraphs>15</Paragraphs>
  <ScaleCrop>false</ScaleCrop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Auckram</dc:creator>
  <cp:keywords/>
  <dc:description/>
  <cp:lastModifiedBy>Jessie Auckram</cp:lastModifiedBy>
  <cp:revision>103</cp:revision>
  <dcterms:created xsi:type="dcterms:W3CDTF">2022-11-08T21:34:00Z</dcterms:created>
  <dcterms:modified xsi:type="dcterms:W3CDTF">2022-11-14T21:10:00Z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zotero-version="6.0.15"&gt;&lt;session id="xL0G9NZX"/&gt;&lt;style id="http://www.zotero.org/styles/apa" locale="en-NZ" hasBibliography="1" bibliographyStyleHasBeenSet="0"/&gt;&lt;prefs&gt;&lt;pref name="fieldType" value="Field"/&gt;&lt;/prefs&gt;&lt;/data&gt;</vt:lpwstr>
  </property>
  <property fmtid="{D5CDD505-2E9C-101B-9397-08002B2CF9AE}" pid="3" name="MSIP_Label_bd9e4d68-54d0-40a5-8c9a-85a36c87352c_Enabled">
    <vt:lpwstr>true</vt:lpwstr>
  </property>
  <property fmtid="{D5CDD505-2E9C-101B-9397-08002B2CF9AE}" pid="4" name="MSIP_Label_bd9e4d68-54d0-40a5-8c9a-85a36c87352c_SetDate">
    <vt:lpwstr>2022-11-14T03:22:31Z</vt:lpwstr>
  </property>
  <property fmtid="{D5CDD505-2E9C-101B-9397-08002B2CF9AE}" pid="5" name="MSIP_Label_bd9e4d68-54d0-40a5-8c9a-85a36c87352c_Method">
    <vt:lpwstr>Standard</vt:lpwstr>
  </property>
  <property fmtid="{D5CDD505-2E9C-101B-9397-08002B2CF9AE}" pid="6" name="MSIP_Label_bd9e4d68-54d0-40a5-8c9a-85a36c87352c_Name">
    <vt:lpwstr>Unclassified</vt:lpwstr>
  </property>
  <property fmtid="{D5CDD505-2E9C-101B-9397-08002B2CF9AE}" pid="7" name="MSIP_Label_bd9e4d68-54d0-40a5-8c9a-85a36c87352c_SiteId">
    <vt:lpwstr>388728e1-bbd0-4378-98dc-f8682e644300</vt:lpwstr>
  </property>
  <property fmtid="{D5CDD505-2E9C-101B-9397-08002B2CF9AE}" pid="8" name="MSIP_Label_bd9e4d68-54d0-40a5-8c9a-85a36c87352c_ActionId">
    <vt:lpwstr>9117307a-f044-4731-bcf1-3a0632c85946</vt:lpwstr>
  </property>
  <property fmtid="{D5CDD505-2E9C-101B-9397-08002B2CF9AE}" pid="9" name="MSIP_Label_bd9e4d68-54d0-40a5-8c9a-85a36c87352c_ContentBits">
    <vt:lpwstr>0</vt:lpwstr>
  </property>
</Properties>
</file>